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3A062C" w:rsidRPr="00346AC1" w:rsidTr="00CF127F"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 w:rsidR="003745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mali grb kolorni osenceni" style="position:absolute;margin-left:82.25pt;margin-top:-7pt;width:52.2pt;height:7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mali grb kolorni osenceni"/>
                  <w10:wrap type="square"/>
                </v:shape>
              </w:pict>
            </w:r>
          </w:p>
        </w:tc>
      </w:tr>
      <w:tr w:rsidR="003A062C" w:rsidRPr="00346AC1" w:rsidTr="00CF127F">
        <w:trPr>
          <w:trHeight w:val="323"/>
        </w:trPr>
        <w:tc>
          <w:tcPr>
            <w:tcW w:w="4786" w:type="dxa"/>
          </w:tcPr>
          <w:p w:rsidR="003A062C" w:rsidRPr="00346AC1" w:rsidRDefault="003A062C" w:rsidP="00CF127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3A062C" w:rsidRPr="00346AC1" w:rsidRDefault="003A062C" w:rsidP="00CF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-1</w:t>
            </w:r>
            <w:r w:rsidR="00747C79">
              <w:rPr>
                <w:rFonts w:ascii="Times New Roman" w:hAnsi="Times New Roman"/>
                <w:sz w:val="24"/>
                <w:szCs w:val="24"/>
              </w:rPr>
              <w:t>1</w:t>
            </w:r>
            <w:r w:rsidR="00C5708C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2017-08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27BD7">
              <w:rPr>
                <w:rFonts w:ascii="Times New Roman" w:hAnsi="Times New Roman"/>
                <w:sz w:val="24"/>
                <w:szCs w:val="24"/>
              </w:rPr>
              <w:t>2</w:t>
            </w:r>
            <w:r w:rsidR="003745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 2017. године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C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346AC1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3A062C" w:rsidRPr="00346AC1" w:rsidRDefault="003A062C" w:rsidP="00CF127F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16AE" w:rsidRDefault="000D16AE" w:rsidP="009D560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6AE" w:rsidRDefault="000D16AE" w:rsidP="009D560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ДОДАТНЕ ИНФОРМАЦИЈЕ ОДНОСНО ПОЈАШЊЕЊА У ВЕЗИ СА ПРИПРЕМАЊЕМ ПОНУДЕ ЗА ЈАВНУ НАБАВКУ 1.3.</w:t>
      </w:r>
      <w:r w:rsidR="00F27B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3A062C">
        <w:rPr>
          <w:rFonts w:ascii="Times New Roman" w:hAnsi="Times New Roman"/>
          <w:sz w:val="24"/>
          <w:szCs w:val="24"/>
          <w:lang w:val="sr-Cyrl-CS"/>
        </w:rPr>
        <w:t>7</w:t>
      </w:r>
    </w:p>
    <w:p w:rsidR="00F27BD7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спортско рекреативне балон сале при ОШ Сретен Лазаревић, Прилике, општина Ивањица</w:t>
      </w:r>
      <w:r w:rsidRPr="00D3511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F27BD7" w:rsidRPr="009D560C" w:rsidRDefault="00F27BD7" w:rsidP="00F27BD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6AE" w:rsidRDefault="000D16AE" w:rsidP="007E59F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E59FD" w:rsidRPr="007E59FD" w:rsidRDefault="007E59FD" w:rsidP="007E59F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ли је потребно поднети доказ за испуњеност обавезних услова уколико је понуђач у регистру понуђача с обзиром на члан 78 закона о јавним набавкама као и услов на страни 7 тј. Потврда Агенције за привредне регистре да нису евидентирани подаци о покренутом поступку стечаја или ликвидације, односно претходном стечајном поступку.</w:t>
      </w:r>
    </w:p>
    <w:p w:rsidR="003A062C" w:rsidRDefault="000D16AE" w:rsidP="003A062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E59FD" w:rsidRPr="007E59FD" w:rsidRDefault="007E59FD" w:rsidP="007E59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оквиру конкурсне документације, поглавље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 w:rsidRPr="007E59F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NewRomanPSMT"/>
          <w:iCs/>
          <w:sz w:val="24"/>
          <w:szCs w:val="24"/>
          <w:lang w:val="sr-Cyrl-RS"/>
        </w:rPr>
        <w:t>У</w:t>
      </w:r>
      <w:r w:rsidRPr="007E59FD">
        <w:rPr>
          <w:rFonts w:ascii="Times New Roman" w:hAnsi="Times New Roman" w:cs="TimesNewRomanPSMT"/>
          <w:iCs/>
          <w:sz w:val="24"/>
          <w:szCs w:val="24"/>
          <w:lang w:val="sr-Cyrl-CS"/>
        </w:rPr>
        <w:t xml:space="preserve">слови за учешће у поступку јавне набавке из чл. 75. и 76. </w:t>
      </w:r>
      <w:r w:rsidRPr="007E59FD">
        <w:rPr>
          <w:rFonts w:ascii="Times New Roman" w:hAnsi="Times New Roman"/>
          <w:iCs/>
          <w:sz w:val="24"/>
          <w:szCs w:val="24"/>
          <w:lang w:val="sr-Cyrl-CS"/>
        </w:rPr>
        <w:t>закона и упутство како се доказује испуњеност тих услова</w:t>
      </w:r>
      <w:r>
        <w:rPr>
          <w:rFonts w:ascii="Times New Roman" w:hAnsi="Times New Roman"/>
          <w:iCs/>
          <w:sz w:val="24"/>
          <w:szCs w:val="24"/>
          <w:lang w:val="sr-Cyrl-CS"/>
        </w:rPr>
        <w:t>, јасно је наведено да п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онуђачи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који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регистровани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у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који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води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Агенција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за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привредне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морају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доставе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доказ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7E59FD">
        <w:rPr>
          <w:rFonts w:ascii="Times New Roman" w:eastAsia="TimesNewRomanPS-BoldMT" w:hAnsi="Times New Roman"/>
          <w:bCs/>
          <w:sz w:val="24"/>
          <w:szCs w:val="24"/>
          <w:lang w:val="sr-Cyrl-CS"/>
        </w:rPr>
        <w:t>из чл.  75. ст. 1. тач. 1) до 4) који су</w:t>
      </w:r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јавно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доступ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  <w:lang w:val="sr-Cyrl-CS"/>
        </w:rPr>
        <w:t>ни на</w:t>
      </w:r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интернет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страници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Агенције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за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привредне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. </w:t>
      </w:r>
      <w:proofErr w:type="gramStart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У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том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случају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понуђач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доставља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решење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о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регистрацији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у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регистру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понуђача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NewRomanPS-BoldMT" w:hAnsi="Times New Roman"/>
          <w:bCs/>
          <w:sz w:val="24"/>
          <w:szCs w:val="24"/>
          <w:lang w:val="sr-Cyrl-RS"/>
        </w:rPr>
        <w:t xml:space="preserve"> Даље је наведено да Н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аручилац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неће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одбити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понуду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као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неприхватљиву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,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уколико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садржи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доказ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одређен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конкурсном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документацијом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,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ако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понуђач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наведе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у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понуди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интернет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страницу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на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којој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подаци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који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су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тражени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у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оквиру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услова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јавно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proofErr w:type="spellStart"/>
      <w:r w:rsidRPr="007E59FD">
        <w:rPr>
          <w:rFonts w:ascii="Times New Roman" w:eastAsia="TimesNewRomanPS-BoldMT" w:hAnsi="Times New Roman"/>
          <w:bCs/>
          <w:sz w:val="24"/>
          <w:szCs w:val="24"/>
        </w:rPr>
        <w:t>доступни</w:t>
      </w:r>
      <w:proofErr w:type="spellEnd"/>
      <w:r w:rsidRPr="007E59FD"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3A062C" w:rsidRDefault="007E59FD" w:rsidP="007E59F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Питање:</w:t>
      </w:r>
    </w:p>
    <w:p w:rsidR="007E59FD" w:rsidRDefault="007E59FD" w:rsidP="007E59F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страни 7 наводите да је потребно доставити доказ о броју дана неликвидности за првих шест месеци 2016. године. Молим Вас да наведете за који период је потребно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доставити потврду НБС.</w:t>
      </w:r>
    </w:p>
    <w:p w:rsidR="007E59FD" w:rsidRDefault="007E59FD" w:rsidP="007E59F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E59FD" w:rsidRPr="00174E9C" w:rsidRDefault="007E59FD" w:rsidP="008664DC">
      <w:pPr>
        <w:tabs>
          <w:tab w:val="right" w:pos="9360"/>
        </w:tabs>
        <w:ind w:left="720"/>
        <w:jc w:val="both"/>
        <w:rPr>
          <w:rFonts w:ascii="TimesRoman" w:hAnsi="TimesRoman"/>
          <w:noProof/>
          <w:kern w:val="2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оквиру конкурсне документације, поглавље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 w:rsidRPr="007E59F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NewRomanPSMT"/>
          <w:iCs/>
          <w:sz w:val="24"/>
          <w:szCs w:val="24"/>
          <w:lang w:val="sr-Cyrl-RS"/>
        </w:rPr>
        <w:t>У</w:t>
      </w:r>
      <w:r w:rsidRPr="007E59FD">
        <w:rPr>
          <w:rFonts w:ascii="Times New Roman" w:hAnsi="Times New Roman" w:cs="TimesNewRomanPSMT"/>
          <w:iCs/>
          <w:sz w:val="24"/>
          <w:szCs w:val="24"/>
          <w:lang w:val="sr-Cyrl-CS"/>
        </w:rPr>
        <w:t xml:space="preserve">слови за учешће у поступку јавне </w:t>
      </w:r>
      <w:r w:rsidR="008664DC">
        <w:rPr>
          <w:rFonts w:ascii="Times New Roman" w:hAnsi="Times New Roman" w:cs="TimesNewRomanPSMT"/>
          <w:iCs/>
          <w:sz w:val="24"/>
          <w:szCs w:val="24"/>
          <w:lang w:val="sr-Cyrl-CS"/>
        </w:rPr>
        <w:t>н</w:t>
      </w:r>
      <w:r w:rsidRPr="007E59FD">
        <w:rPr>
          <w:rFonts w:ascii="Times New Roman" w:hAnsi="Times New Roman" w:cs="TimesNewRomanPSMT"/>
          <w:iCs/>
          <w:sz w:val="24"/>
          <w:szCs w:val="24"/>
          <w:lang w:val="sr-Cyrl-CS"/>
        </w:rPr>
        <w:t xml:space="preserve">абавке из чл. 75. и 76. </w:t>
      </w:r>
      <w:r w:rsidRPr="007E59FD">
        <w:rPr>
          <w:rFonts w:ascii="Times New Roman" w:hAnsi="Times New Roman"/>
          <w:iCs/>
          <w:sz w:val="24"/>
          <w:szCs w:val="24"/>
          <w:lang w:val="sr-Cyrl-CS"/>
        </w:rPr>
        <w:t>закона и упутство како се доказује испуњеност тих услова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, </w:t>
      </w:r>
      <w:r w:rsidR="008664DC">
        <w:rPr>
          <w:rFonts w:ascii="Times New Roman" w:hAnsi="Times New Roman"/>
          <w:iCs/>
          <w:sz w:val="24"/>
          <w:szCs w:val="24"/>
          <w:lang w:val="sr-Cyrl-CS"/>
        </w:rPr>
        <w:t xml:space="preserve">у оквиру </w:t>
      </w:r>
      <w:r w:rsidR="008664DC">
        <w:rPr>
          <w:rFonts w:ascii="Times New Roman" w:hAnsi="Times New Roman"/>
          <w:sz w:val="24"/>
          <w:szCs w:val="24"/>
          <w:lang w:val="ru-RU"/>
        </w:rPr>
        <w:t xml:space="preserve">неопходног </w:t>
      </w:r>
      <w:r w:rsidR="008664DC">
        <w:rPr>
          <w:rFonts w:ascii="Times New Roman" w:hAnsi="Times New Roman"/>
          <w:b/>
          <w:sz w:val="24"/>
          <w:szCs w:val="24"/>
          <w:lang w:val="ru-RU"/>
        </w:rPr>
        <w:t>финансијског и пословног</w:t>
      </w:r>
      <w:r w:rsidR="008664DC">
        <w:rPr>
          <w:rFonts w:ascii="Times New Roman" w:hAnsi="Times New Roman"/>
          <w:sz w:val="24"/>
          <w:szCs w:val="24"/>
          <w:lang w:val="ru-RU"/>
        </w:rPr>
        <w:t xml:space="preserve"> капацитета тражено је, </w:t>
      </w:r>
      <w:r w:rsidR="008664DC">
        <w:rPr>
          <w:rFonts w:ascii="Times New Roman" w:hAnsi="Times New Roman"/>
          <w:sz w:val="24"/>
          <w:szCs w:val="24"/>
          <w:lang w:val="ru-RU"/>
        </w:rPr>
        <w:lastRenderedPageBreak/>
        <w:t>између осталог, д</w:t>
      </w:r>
      <w:r w:rsidR="008664DC" w:rsidRPr="00EB4DD2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664DC">
        <w:rPr>
          <w:rFonts w:ascii="Times New Roman" w:hAnsi="Times New Roman"/>
          <w:sz w:val="24"/>
          <w:szCs w:val="24"/>
          <w:lang w:val="ru-RU"/>
        </w:rPr>
        <w:t>понуђач</w:t>
      </w:r>
      <w:r w:rsidR="008664DC" w:rsidRPr="00BA3571">
        <w:rPr>
          <w:rFonts w:ascii="Times New Roman" w:hAnsi="Times New Roman"/>
          <w:iCs/>
          <w:sz w:val="24"/>
          <w:szCs w:val="24"/>
          <w:lang w:val="sr-Cyrl-CS"/>
        </w:rPr>
        <w:t xml:space="preserve"> у </w:t>
      </w:r>
      <w:proofErr w:type="spellStart"/>
      <w:r w:rsidR="008664DC" w:rsidRPr="00BA3571">
        <w:rPr>
          <w:rFonts w:ascii="Times New Roman" w:hAnsi="Times New Roman"/>
          <w:iCs/>
          <w:sz w:val="24"/>
          <w:szCs w:val="24"/>
        </w:rPr>
        <w:t>првих</w:t>
      </w:r>
      <w:proofErr w:type="spellEnd"/>
      <w:r w:rsidR="008664DC" w:rsidRPr="00BA35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664DC" w:rsidRPr="00BA3571">
        <w:rPr>
          <w:rFonts w:ascii="Times New Roman" w:hAnsi="Times New Roman"/>
          <w:iCs/>
          <w:sz w:val="24"/>
          <w:szCs w:val="24"/>
        </w:rPr>
        <w:t>шест</w:t>
      </w:r>
      <w:proofErr w:type="spellEnd"/>
      <w:r w:rsidR="008664DC" w:rsidRPr="00BA35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664DC" w:rsidRPr="00BA3571">
        <w:rPr>
          <w:rFonts w:ascii="Times New Roman" w:hAnsi="Times New Roman"/>
          <w:iCs/>
          <w:sz w:val="24"/>
          <w:szCs w:val="24"/>
        </w:rPr>
        <w:t>месеци</w:t>
      </w:r>
      <w:proofErr w:type="spellEnd"/>
      <w:r w:rsidR="008664D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8664DC" w:rsidRPr="00EB4DD2">
        <w:rPr>
          <w:rFonts w:ascii="Times New Roman" w:hAnsi="Times New Roman"/>
          <w:iCs/>
          <w:sz w:val="24"/>
          <w:szCs w:val="24"/>
          <w:lang w:val="sr-Cyrl-CS"/>
        </w:rPr>
        <w:t>201</w:t>
      </w:r>
      <w:r w:rsidR="008664DC">
        <w:rPr>
          <w:rFonts w:ascii="Times New Roman" w:hAnsi="Times New Roman"/>
          <w:iCs/>
          <w:sz w:val="24"/>
          <w:szCs w:val="24"/>
          <w:lang w:val="sr-Cyrl-CS"/>
        </w:rPr>
        <w:t>6</w:t>
      </w:r>
      <w:r w:rsidR="008664DC" w:rsidRPr="00EB4DD2">
        <w:rPr>
          <w:rFonts w:ascii="Times New Roman" w:hAnsi="Times New Roman"/>
          <w:iCs/>
          <w:sz w:val="24"/>
          <w:szCs w:val="24"/>
          <w:lang w:val="sr-Cyrl-CS"/>
        </w:rPr>
        <w:t xml:space="preserve">. године (јануар, фебруар, март, април, мај и јун) није био у блокади дуже од укупно </w:t>
      </w:r>
      <w:r w:rsidR="008664DC" w:rsidRPr="00EB4DD2">
        <w:rPr>
          <w:rFonts w:ascii="Times New Roman" w:hAnsi="Times New Roman"/>
          <w:iCs/>
          <w:sz w:val="24"/>
          <w:szCs w:val="24"/>
        </w:rPr>
        <w:t>3</w:t>
      </w:r>
      <w:r w:rsidR="008664DC" w:rsidRPr="00EB4DD2">
        <w:rPr>
          <w:rFonts w:ascii="Times New Roman" w:hAnsi="Times New Roman"/>
          <w:iCs/>
          <w:sz w:val="24"/>
          <w:szCs w:val="24"/>
          <w:lang w:val="sr-Cyrl-CS"/>
        </w:rPr>
        <w:t xml:space="preserve"> дана</w:t>
      </w:r>
      <w:r w:rsidR="008664DC">
        <w:rPr>
          <w:rFonts w:ascii="Times New Roman" w:hAnsi="Times New Roman"/>
          <w:iCs/>
          <w:sz w:val="24"/>
          <w:szCs w:val="24"/>
          <w:lang w:val="sr-Cyrl-CS"/>
        </w:rPr>
        <w:t xml:space="preserve"> узастопно. </w:t>
      </w:r>
    </w:p>
    <w:p w:rsidR="007E59FD" w:rsidRDefault="007E59FD" w:rsidP="007E59F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9FD" w:rsidRDefault="007E59FD" w:rsidP="007E59F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ја</w:t>
      </w:r>
      <w:proofErr w:type="spellStart"/>
      <w:r>
        <w:rPr>
          <w:rFonts w:ascii="Times New Roman" w:hAnsi="Times New Roman"/>
          <w:sz w:val="24"/>
          <w:szCs w:val="24"/>
        </w:rPr>
        <w:t>вну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p w:rsidR="000D16AE" w:rsidRDefault="000D16AE" w:rsidP="009D560C">
      <w:pPr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16AE" w:rsidRDefault="000D16AE" w:rsidP="009D560C"/>
    <w:p w:rsidR="000D16AE" w:rsidRDefault="000D16AE"/>
    <w:sectPr w:rsidR="000D16AE" w:rsidSect="00CE245E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Roman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DEA"/>
    <w:multiLevelType w:val="hybridMultilevel"/>
    <w:tmpl w:val="EC4A5F4C"/>
    <w:lvl w:ilvl="0" w:tplc="A0EE3E86">
      <w:numFmt w:val="bullet"/>
      <w:lvlText w:val="-"/>
      <w:lvlJc w:val="left"/>
      <w:pPr>
        <w:ind w:left="1080" w:hanging="360"/>
      </w:pPr>
      <w:rPr>
        <w:rFonts w:ascii="TimesRoman" w:eastAsia="Times New Roman" w:hAnsi="Times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15821"/>
    <w:multiLevelType w:val="hybridMultilevel"/>
    <w:tmpl w:val="C07A7FB8"/>
    <w:lvl w:ilvl="0" w:tplc="3976AC8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C3A"/>
    <w:rsid w:val="000D16AE"/>
    <w:rsid w:val="001B1C43"/>
    <w:rsid w:val="001C4B9D"/>
    <w:rsid w:val="001F0840"/>
    <w:rsid w:val="00374560"/>
    <w:rsid w:val="003A062C"/>
    <w:rsid w:val="00417F17"/>
    <w:rsid w:val="00494EFF"/>
    <w:rsid w:val="00504F9E"/>
    <w:rsid w:val="005267D9"/>
    <w:rsid w:val="00574CD9"/>
    <w:rsid w:val="005B2AAA"/>
    <w:rsid w:val="00700131"/>
    <w:rsid w:val="00747C79"/>
    <w:rsid w:val="007D3358"/>
    <w:rsid w:val="007E59FD"/>
    <w:rsid w:val="008664DC"/>
    <w:rsid w:val="008A7C1C"/>
    <w:rsid w:val="00983C4B"/>
    <w:rsid w:val="009D560C"/>
    <w:rsid w:val="00A5142D"/>
    <w:rsid w:val="00A9448B"/>
    <w:rsid w:val="00BD2994"/>
    <w:rsid w:val="00BE28E9"/>
    <w:rsid w:val="00C074FF"/>
    <w:rsid w:val="00C5708C"/>
    <w:rsid w:val="00C75733"/>
    <w:rsid w:val="00CC1906"/>
    <w:rsid w:val="00CE245E"/>
    <w:rsid w:val="00D213A1"/>
    <w:rsid w:val="00DF15B5"/>
    <w:rsid w:val="00E14C3A"/>
    <w:rsid w:val="00F176E6"/>
    <w:rsid w:val="00F27BD7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dcterms:created xsi:type="dcterms:W3CDTF">2017-04-21T12:46:00Z</dcterms:created>
  <dcterms:modified xsi:type="dcterms:W3CDTF">2017-04-24T06:41:00Z</dcterms:modified>
</cp:coreProperties>
</file>